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0"/>
      </w:tblGrid>
      <w:tr w:rsidR="00675F3C" w:rsidTr="00656C89">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75F3C" w:rsidTr="00656C89">
              <w:tc>
                <w:tcPr>
                  <w:tcW w:w="0" w:type="auto"/>
                  <w:tcMar>
                    <w:top w:w="135" w:type="dxa"/>
                    <w:left w:w="270" w:type="dxa"/>
                    <w:bottom w:w="135" w:type="dxa"/>
                    <w:right w:w="270" w:type="dxa"/>
                  </w:tcMar>
                  <w:vAlign w:val="center"/>
                  <w:hideMark/>
                </w:tcPr>
                <w:tbl>
                  <w:tblPr>
                    <w:tblW w:w="5000" w:type="pct"/>
                    <w:tblBorders>
                      <w:top w:val="single" w:sz="6" w:space="0" w:color="999999"/>
                      <w:left w:val="single" w:sz="6" w:space="0" w:color="999999"/>
                      <w:bottom w:val="single" w:sz="6" w:space="0" w:color="999999"/>
                      <w:right w:val="single" w:sz="6" w:space="0" w:color="999999"/>
                    </w:tblBorders>
                    <w:shd w:val="clear" w:color="auto" w:fill="EBEBEB"/>
                    <w:tblCellMar>
                      <w:top w:w="270" w:type="dxa"/>
                      <w:left w:w="270" w:type="dxa"/>
                      <w:bottom w:w="270" w:type="dxa"/>
                      <w:right w:w="270" w:type="dxa"/>
                    </w:tblCellMar>
                    <w:tblLook w:val="04A0" w:firstRow="1" w:lastRow="0" w:firstColumn="1" w:lastColumn="0" w:noHBand="0" w:noVBand="1"/>
                  </w:tblPr>
                  <w:tblGrid>
                    <w:gridCol w:w="8444"/>
                  </w:tblGrid>
                  <w:tr w:rsidR="00675F3C" w:rsidTr="00656C89">
                    <w:tc>
                      <w:tcPr>
                        <w:tcW w:w="0" w:type="auto"/>
                        <w:shd w:val="clear" w:color="auto" w:fill="EBEBEB"/>
                        <w:hideMark/>
                      </w:tcPr>
                      <w:p w:rsidR="00675F3C" w:rsidRDefault="00675F3C" w:rsidP="00656C89">
                        <w:pPr>
                          <w:spacing w:line="360" w:lineRule="auto"/>
                          <w:jc w:val="center"/>
                          <w:rPr>
                            <w:rFonts w:ascii="Helvetica" w:eastAsia="Times New Roman" w:hAnsi="Helvetica" w:cs="Helvetica"/>
                            <w:color w:val="606060"/>
                            <w:sz w:val="23"/>
                            <w:szCs w:val="23"/>
                          </w:rPr>
                        </w:pPr>
                        <w:r>
                          <w:rPr>
                            <w:rStyle w:val="Strong"/>
                            <w:rFonts w:eastAsia="Times New Roman"/>
                            <w:color w:val="606060"/>
                            <w:sz w:val="27"/>
                            <w:szCs w:val="27"/>
                            <w:u w:val="single"/>
                          </w:rPr>
                          <w:t>ATTENTION PARENTS, TEACHERS, CLINICIANS &amp; MINISTERS/PASTORS</w:t>
                        </w:r>
                        <w:r>
                          <w:rPr>
                            <w:rFonts w:eastAsia="Times New Roman"/>
                            <w:b/>
                            <w:bCs/>
                            <w:color w:val="606060"/>
                            <w:sz w:val="23"/>
                            <w:szCs w:val="23"/>
                          </w:rPr>
                          <w:br/>
                        </w:r>
                        <w:r>
                          <w:rPr>
                            <w:rFonts w:eastAsia="Times New Roman"/>
                            <w:b/>
                            <w:bCs/>
                            <w:color w:val="606060"/>
                            <w:sz w:val="23"/>
                            <w:szCs w:val="23"/>
                          </w:rPr>
                          <w:br/>
                        </w:r>
                        <w:r>
                          <w:rPr>
                            <w:rStyle w:val="Strong"/>
                            <w:rFonts w:eastAsia="Times New Roman"/>
                            <w:color w:val="606060"/>
                            <w:sz w:val="23"/>
                            <w:szCs w:val="23"/>
                          </w:rPr>
                          <w:t>REGISTER TODAY</w:t>
                        </w:r>
                        <w:r>
                          <w:rPr>
                            <w:rFonts w:eastAsia="Times New Roman"/>
                            <w:color w:val="606060"/>
                            <w:sz w:val="23"/>
                            <w:szCs w:val="23"/>
                          </w:rPr>
                          <w:t xml:space="preserve"> for one (or both) of the following workshops on</w:t>
                        </w:r>
                        <w:r>
                          <w:rPr>
                            <w:rFonts w:eastAsia="Times New Roman"/>
                            <w:color w:val="606060"/>
                            <w:sz w:val="23"/>
                            <w:szCs w:val="23"/>
                          </w:rPr>
                          <w:br/>
                          <w:t>November 14th and 15th in North Little Rock</w:t>
                        </w:r>
                        <w:r>
                          <w:rPr>
                            <w:rFonts w:eastAsia="Times New Roman"/>
                            <w:color w:val="606060"/>
                            <w:sz w:val="23"/>
                            <w:szCs w:val="23"/>
                          </w:rPr>
                          <w:br/>
                          <w:t>featuring Dr. Erik Carter of Vanderbilt University</w:t>
                        </w:r>
                        <w:r>
                          <w:rPr>
                            <w:rFonts w:eastAsia="Times New Roman"/>
                            <w:color w:val="606060"/>
                            <w:sz w:val="23"/>
                            <w:szCs w:val="23"/>
                          </w:rPr>
                          <w:br/>
                          <w:t>(</w:t>
                        </w:r>
                        <w:r>
                          <w:rPr>
                            <w:rStyle w:val="Emphasis"/>
                            <w:rFonts w:eastAsia="Times New Roman"/>
                            <w:color w:val="606060"/>
                            <w:sz w:val="23"/>
                            <w:szCs w:val="23"/>
                          </w:rPr>
                          <w:t>registration for each day must be completed separately -</w:t>
                        </w:r>
                        <w:r>
                          <w:rPr>
                            <w:rFonts w:eastAsia="Times New Roman"/>
                            <w:i/>
                            <w:iCs/>
                            <w:color w:val="606060"/>
                            <w:sz w:val="23"/>
                            <w:szCs w:val="23"/>
                          </w:rPr>
                          <w:br/>
                        </w:r>
                        <w:r>
                          <w:rPr>
                            <w:rStyle w:val="Emphasis"/>
                            <w:rFonts w:eastAsia="Times New Roman"/>
                            <w:color w:val="606060"/>
                            <w:sz w:val="23"/>
                            <w:szCs w:val="23"/>
                          </w:rPr>
                          <w:t>see workshop descriptions below for details</w:t>
                        </w:r>
                        <w:r>
                          <w:rPr>
                            <w:rFonts w:eastAsia="Times New Roman"/>
                            <w:color w:val="606060"/>
                            <w:sz w:val="23"/>
                            <w:szCs w:val="23"/>
                          </w:rPr>
                          <w:t>) :</w:t>
                        </w:r>
                      </w:p>
                    </w:tc>
                  </w:tr>
                </w:tbl>
                <w:p w:rsidR="00675F3C" w:rsidRDefault="00675F3C" w:rsidP="00656C89">
                  <w:pPr>
                    <w:rPr>
                      <w:rFonts w:eastAsia="Times New Roman"/>
                    </w:rPr>
                  </w:pPr>
                </w:p>
              </w:tc>
            </w:tr>
          </w:tbl>
          <w:p w:rsidR="00675F3C" w:rsidRDefault="00675F3C" w:rsidP="00656C89">
            <w:pPr>
              <w:rPr>
                <w:rFonts w:eastAsia="Times New Roman"/>
              </w:rPr>
            </w:pPr>
          </w:p>
        </w:tc>
      </w:tr>
    </w:tbl>
    <w:p w:rsidR="00675F3C" w:rsidRDefault="00675F3C" w:rsidP="00675F3C">
      <w:pPr>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675F3C" w:rsidTr="00656C89">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360"/>
            </w:tblGrid>
            <w:tr w:rsidR="00675F3C" w:rsidTr="00656C89">
              <w:tc>
                <w:tcPr>
                  <w:tcW w:w="0" w:type="auto"/>
                  <w:tcMar>
                    <w:top w:w="0" w:type="dxa"/>
                    <w:left w:w="135" w:type="dxa"/>
                    <w:bottom w:w="0"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640"/>
                  </w:tblGrid>
                  <w:tr w:rsidR="00675F3C" w:rsidTr="00656C89">
                    <w:tc>
                      <w:tcPr>
                        <w:tcW w:w="0" w:type="auto"/>
                        <w:hideMark/>
                      </w:tcPr>
                      <w:p w:rsidR="00675F3C" w:rsidRDefault="00675F3C" w:rsidP="00656C89">
                        <w:pPr>
                          <w:rPr>
                            <w:rFonts w:eastAsia="Times New Roman"/>
                          </w:rPr>
                        </w:pPr>
                        <w:r>
                          <w:rPr>
                            <w:rFonts w:eastAsia="Times New Roman"/>
                            <w:noProof/>
                          </w:rPr>
                          <w:drawing>
                            <wp:inline distT="0" distB="0" distL="0" distR="0" wp14:anchorId="44FCB111" wp14:editId="2D21BA82">
                              <wp:extent cx="1676400" cy="2228850"/>
                              <wp:effectExtent l="0" t="0" r="0" b="0"/>
                              <wp:docPr id="1" name="Picture 1" descr="https://gallery.mailchimp.com/edd775568eb5ae14a8f6b5b35/images/e9772495-b6c8-4d13-bae6-7bda321385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dd775568eb5ae14a8f6b5b35/images/e9772495-b6c8-4d13-bae6-7bda32138598.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676400" cy="2228850"/>
                                      </a:xfrm>
                                      <a:prstGeom prst="rect">
                                        <a:avLst/>
                                      </a:prstGeom>
                                      <a:noFill/>
                                      <a:ln>
                                        <a:noFill/>
                                      </a:ln>
                                    </pic:spPr>
                                  </pic:pic>
                                </a:graphicData>
                              </a:graphic>
                            </wp:inline>
                          </w:drawing>
                        </w:r>
                      </w:p>
                    </w:tc>
                  </w:tr>
                </w:tbl>
                <w:tbl>
                  <w:tblPr>
                    <w:tblpPr w:leftFromText="45" w:rightFromText="45" w:vertAnchor="text" w:tblpXSpec="right" w:tblpYSpec="center"/>
                    <w:tblW w:w="5280" w:type="dxa"/>
                    <w:tblCellMar>
                      <w:left w:w="0" w:type="dxa"/>
                      <w:right w:w="0" w:type="dxa"/>
                    </w:tblCellMar>
                    <w:tblLook w:val="04A0" w:firstRow="1" w:lastRow="0" w:firstColumn="1" w:lastColumn="0" w:noHBand="0" w:noVBand="1"/>
                  </w:tblPr>
                  <w:tblGrid>
                    <w:gridCol w:w="5280"/>
                  </w:tblGrid>
                  <w:tr w:rsidR="00675F3C" w:rsidTr="00656C89">
                    <w:tc>
                      <w:tcPr>
                        <w:tcW w:w="0" w:type="auto"/>
                        <w:hideMark/>
                      </w:tcPr>
                      <w:p w:rsidR="00675F3C" w:rsidRDefault="00675F3C" w:rsidP="00656C89">
                        <w:pPr>
                          <w:spacing w:line="360" w:lineRule="auto"/>
                          <w:rPr>
                            <w:rFonts w:ascii="Trebuchet MS" w:eastAsia="Times New Roman" w:hAnsi="Trebuchet MS" w:cs="Helvetica"/>
                            <w:color w:val="606060"/>
                            <w:sz w:val="33"/>
                            <w:szCs w:val="33"/>
                          </w:rPr>
                        </w:pPr>
                        <w:r>
                          <w:rPr>
                            <w:rFonts w:ascii="Trebuchet MS" w:eastAsia="Times New Roman" w:hAnsi="Trebuchet MS" w:cs="Helvetica"/>
                            <w:color w:val="606060"/>
                            <w:sz w:val="33"/>
                            <w:szCs w:val="33"/>
                          </w:rPr>
                          <w:t>Erik Carter, Ph.D.</w:t>
                        </w:r>
                        <w:r>
                          <w:rPr>
                            <w:rFonts w:ascii="Trebuchet MS" w:eastAsia="Times New Roman" w:hAnsi="Trebuchet MS" w:cs="Helvetica"/>
                            <w:color w:val="606060"/>
                            <w:sz w:val="33"/>
                            <w:szCs w:val="33"/>
                          </w:rPr>
                          <w:br/>
                          <w:t>Associate Professor</w:t>
                        </w:r>
                        <w:r>
                          <w:rPr>
                            <w:rFonts w:ascii="Trebuchet MS" w:eastAsia="Times New Roman" w:hAnsi="Trebuchet MS" w:cs="Helvetica"/>
                            <w:color w:val="606060"/>
                            <w:sz w:val="33"/>
                            <w:szCs w:val="33"/>
                          </w:rPr>
                          <w:br/>
                          <w:t>Kennedy Center</w:t>
                        </w:r>
                        <w:r>
                          <w:rPr>
                            <w:rFonts w:ascii="Trebuchet MS" w:eastAsia="Times New Roman" w:hAnsi="Trebuchet MS" w:cs="Helvetica"/>
                            <w:color w:val="606060"/>
                            <w:sz w:val="33"/>
                            <w:szCs w:val="33"/>
                          </w:rPr>
                          <w:br/>
                          <w:t>Vanderbilt University</w:t>
                        </w:r>
                        <w:r>
                          <w:rPr>
                            <w:rFonts w:ascii="Trebuchet MS" w:eastAsia="Times New Roman" w:hAnsi="Trebuchet MS" w:cs="Helvetica"/>
                            <w:color w:val="606060"/>
                            <w:sz w:val="33"/>
                            <w:szCs w:val="33"/>
                          </w:rPr>
                          <w:br/>
                          <w:t xml:space="preserve">Department of Special Education </w:t>
                        </w:r>
                      </w:p>
                    </w:tc>
                  </w:tr>
                </w:tbl>
                <w:p w:rsidR="00675F3C" w:rsidRDefault="00675F3C" w:rsidP="00656C89">
                  <w:pPr>
                    <w:rPr>
                      <w:rFonts w:eastAsia="Times New Roman"/>
                    </w:rPr>
                  </w:pPr>
                </w:p>
              </w:tc>
            </w:tr>
          </w:tbl>
          <w:p w:rsidR="00675F3C" w:rsidRDefault="00675F3C" w:rsidP="00656C89">
            <w:pPr>
              <w:rPr>
                <w:rFonts w:eastAsia="Times New Roman"/>
              </w:rPr>
            </w:pPr>
          </w:p>
        </w:tc>
      </w:tr>
    </w:tbl>
    <w:p w:rsidR="00675F3C" w:rsidRDefault="00675F3C" w:rsidP="00675F3C">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675F3C" w:rsidTr="00656C89">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75F3C" w:rsidTr="00656C89">
              <w:tc>
                <w:tcPr>
                  <w:tcW w:w="0" w:type="auto"/>
                  <w:tcMar>
                    <w:top w:w="135" w:type="dxa"/>
                    <w:left w:w="270" w:type="dxa"/>
                    <w:bottom w:w="135" w:type="dxa"/>
                    <w:right w:w="270" w:type="dxa"/>
                  </w:tcMar>
                  <w:hideMark/>
                </w:tcPr>
                <w:p w:rsidR="00675F3C" w:rsidRDefault="00675F3C" w:rsidP="00656C89">
                  <w:pPr>
                    <w:rPr>
                      <w:rFonts w:ascii="Helvetica" w:eastAsia="Times New Roman" w:hAnsi="Helvetica" w:cs="Helvetica"/>
                      <w:color w:val="606060"/>
                      <w:sz w:val="23"/>
                      <w:szCs w:val="23"/>
                    </w:rPr>
                  </w:pPr>
                  <w:r>
                    <w:rPr>
                      <w:rStyle w:val="Emphasis"/>
                      <w:rFonts w:eastAsia="Times New Roman"/>
                      <w:color w:val="606060"/>
                      <w:sz w:val="18"/>
                      <w:szCs w:val="18"/>
                    </w:rPr>
                    <w:t>Erik Carter is an Associate Professor in the Department of Special Education at Vanderbilt University in Nashville, Tennessee. He completed his graduate work in the area of severe disabilities at Vanderbilt University and his undergraduate work in Christian Education at Wheaton College. His research and teaching focuses on strategies for supporting meaningful school inclusion and promoting valued roles in school, work, and community settings for children and adults with intellectual and developmental disabilities. He has co-authored five books, including </w:t>
                  </w:r>
                  <w:r>
                    <w:rPr>
                      <w:rStyle w:val="Emphasis"/>
                      <w:rFonts w:eastAsia="Times New Roman"/>
                      <w:color w:val="606060"/>
                      <w:sz w:val="18"/>
                      <w:szCs w:val="18"/>
                      <w:u w:val="single"/>
                    </w:rPr>
                    <w:t xml:space="preserve">Peer Support Strategies: Improving all Students’ Social Lives and Learning </w:t>
                  </w:r>
                  <w:r>
                    <w:rPr>
                      <w:rStyle w:val="Emphasis"/>
                      <w:rFonts w:eastAsia="Times New Roman"/>
                      <w:color w:val="606060"/>
                      <w:sz w:val="18"/>
                      <w:szCs w:val="18"/>
                    </w:rPr>
                    <w:t>(Brookes Publishing) and</w:t>
                  </w:r>
                  <w:r>
                    <w:rPr>
                      <w:rStyle w:val="Emphasis"/>
                      <w:rFonts w:eastAsia="Times New Roman"/>
                      <w:color w:val="606060"/>
                      <w:sz w:val="18"/>
                      <w:szCs w:val="18"/>
                      <w:u w:val="single"/>
                    </w:rPr>
                    <w:t> Including People with Disabilities in Faith Communities: A Guide for Service Providers, Families, and Congregations </w:t>
                  </w:r>
                  <w:r>
                    <w:rPr>
                      <w:rStyle w:val="Emphasis"/>
                      <w:rFonts w:eastAsia="Times New Roman"/>
                      <w:color w:val="606060"/>
                      <w:sz w:val="18"/>
                      <w:szCs w:val="18"/>
                    </w:rPr>
                    <w:t xml:space="preserve">(Brookes Publishing).  He has co-authored more than 100 articles and book chapters and was the recipient of the Distinguished Early Career Research Award from the Council for Exceptional Children, the Early Career Award from the American Association for Intellectual and Developmental Disabilities, and the Patricia </w:t>
                  </w:r>
                  <w:proofErr w:type="spellStart"/>
                  <w:r>
                    <w:rPr>
                      <w:rStyle w:val="Emphasis"/>
                      <w:rFonts w:eastAsia="Times New Roman"/>
                      <w:color w:val="606060"/>
                      <w:sz w:val="18"/>
                      <w:szCs w:val="18"/>
                    </w:rPr>
                    <w:t>Sitlington</w:t>
                  </w:r>
                  <w:proofErr w:type="spellEnd"/>
                  <w:r>
                    <w:rPr>
                      <w:rStyle w:val="Emphasis"/>
                      <w:rFonts w:eastAsia="Times New Roman"/>
                      <w:color w:val="606060"/>
                      <w:sz w:val="18"/>
                      <w:szCs w:val="18"/>
                    </w:rPr>
                    <w:t xml:space="preserve"> Research Award from the Division on Career Development and Transition.</w:t>
                  </w:r>
                  <w:r>
                    <w:rPr>
                      <w:rFonts w:ascii="Helvetica" w:eastAsia="Times New Roman" w:hAnsi="Helvetica" w:cs="Helvetica"/>
                      <w:color w:val="606060"/>
                      <w:sz w:val="23"/>
                      <w:szCs w:val="23"/>
                    </w:rPr>
                    <w:t xml:space="preserve"> </w:t>
                  </w:r>
                </w:p>
              </w:tc>
            </w:tr>
          </w:tbl>
          <w:p w:rsidR="00675F3C" w:rsidRDefault="00675F3C" w:rsidP="00656C89">
            <w:pPr>
              <w:rPr>
                <w:rFonts w:eastAsia="Times New Roman"/>
              </w:rPr>
            </w:pPr>
          </w:p>
        </w:tc>
      </w:tr>
    </w:tbl>
    <w:p w:rsidR="00675F3C" w:rsidRDefault="00675F3C" w:rsidP="00675F3C">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675F3C" w:rsidTr="00656C89">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75F3C" w:rsidTr="00656C89">
              <w:tc>
                <w:tcPr>
                  <w:tcW w:w="0" w:type="auto"/>
                  <w:tcMar>
                    <w:top w:w="135" w:type="dxa"/>
                    <w:left w:w="270" w:type="dxa"/>
                    <w:bottom w:w="135" w:type="dxa"/>
                    <w:right w:w="270" w:type="dxa"/>
                  </w:tcMar>
                  <w:vAlign w:val="center"/>
                  <w:hideMark/>
                </w:tcPr>
                <w:tbl>
                  <w:tblPr>
                    <w:tblW w:w="5000" w:type="pct"/>
                    <w:tblBorders>
                      <w:top w:val="single" w:sz="6" w:space="0" w:color="999999"/>
                      <w:left w:val="single" w:sz="6" w:space="0" w:color="999999"/>
                      <w:bottom w:val="single" w:sz="6" w:space="0" w:color="999999"/>
                      <w:right w:val="single" w:sz="6" w:space="0" w:color="999999"/>
                    </w:tblBorders>
                    <w:shd w:val="clear" w:color="auto" w:fill="EBEBEB"/>
                    <w:tblCellMar>
                      <w:top w:w="270" w:type="dxa"/>
                      <w:left w:w="270" w:type="dxa"/>
                      <w:bottom w:w="270" w:type="dxa"/>
                      <w:right w:w="270" w:type="dxa"/>
                    </w:tblCellMar>
                    <w:tblLook w:val="04A0" w:firstRow="1" w:lastRow="0" w:firstColumn="1" w:lastColumn="0" w:noHBand="0" w:noVBand="1"/>
                  </w:tblPr>
                  <w:tblGrid>
                    <w:gridCol w:w="8444"/>
                  </w:tblGrid>
                  <w:tr w:rsidR="00675F3C" w:rsidTr="00656C89">
                    <w:tc>
                      <w:tcPr>
                        <w:tcW w:w="0" w:type="auto"/>
                        <w:shd w:val="clear" w:color="auto" w:fill="EBEBEB"/>
                        <w:hideMark/>
                      </w:tcPr>
                      <w:p w:rsidR="00675F3C" w:rsidRDefault="00675F3C" w:rsidP="00656C89">
                        <w:pPr>
                          <w:jc w:val="center"/>
                          <w:rPr>
                            <w:rFonts w:ascii="Helvetica" w:eastAsia="Times New Roman" w:hAnsi="Helvetica" w:cs="Helvetica"/>
                            <w:color w:val="606060"/>
                            <w:sz w:val="23"/>
                            <w:szCs w:val="23"/>
                          </w:rPr>
                        </w:pPr>
                        <w:r>
                          <w:rPr>
                            <w:rStyle w:val="Strong"/>
                            <w:rFonts w:eastAsia="Times New Roman"/>
                            <w:color w:val="606060"/>
                            <w:sz w:val="21"/>
                            <w:szCs w:val="21"/>
                          </w:rPr>
                          <w:t>Workshop:  Promoting Inclusion for Students with Autism/Disabilities and</w:t>
                        </w:r>
                        <w:r>
                          <w:rPr>
                            <w:rFonts w:eastAsia="Times New Roman"/>
                            <w:b/>
                            <w:bCs/>
                            <w:color w:val="606060"/>
                            <w:sz w:val="21"/>
                            <w:szCs w:val="21"/>
                          </w:rPr>
                          <w:br/>
                        </w:r>
                        <w:r>
                          <w:rPr>
                            <w:rStyle w:val="Strong"/>
                            <w:rFonts w:eastAsia="Times New Roman"/>
                            <w:color w:val="606060"/>
                            <w:sz w:val="21"/>
                            <w:szCs w:val="21"/>
                          </w:rPr>
                          <w:t>Preparing for Transition to Adulthood</w:t>
                        </w:r>
                        <w:r>
                          <w:rPr>
                            <w:rFonts w:eastAsia="Times New Roman"/>
                            <w:b/>
                            <w:bCs/>
                            <w:color w:val="606060"/>
                            <w:sz w:val="21"/>
                            <w:szCs w:val="21"/>
                          </w:rPr>
                          <w:br/>
                        </w:r>
                        <w:r>
                          <w:rPr>
                            <w:rStyle w:val="Strong"/>
                            <w:rFonts w:eastAsia="Times New Roman"/>
                            <w:color w:val="606060"/>
                            <w:sz w:val="21"/>
                            <w:szCs w:val="21"/>
                          </w:rPr>
                          <w:t>Friday, November 14th, 2014, 8:00 a.m. to 4:00 p.m.</w:t>
                        </w:r>
                        <w:r>
                          <w:rPr>
                            <w:rFonts w:eastAsia="Times New Roman"/>
                            <w:b/>
                            <w:bCs/>
                            <w:color w:val="606060"/>
                            <w:sz w:val="21"/>
                            <w:szCs w:val="21"/>
                          </w:rPr>
                          <w:br/>
                        </w:r>
                        <w:r>
                          <w:rPr>
                            <w:rStyle w:val="Strong"/>
                            <w:rFonts w:eastAsia="Times New Roman"/>
                            <w:color w:val="606060"/>
                            <w:sz w:val="21"/>
                            <w:szCs w:val="21"/>
                          </w:rPr>
                          <w:t>First Assembly of God North Little Rock</w:t>
                        </w:r>
                        <w:r>
                          <w:rPr>
                            <w:rFonts w:ascii="Helvetica" w:eastAsia="Times New Roman" w:hAnsi="Helvetica" w:cs="Helvetica"/>
                            <w:color w:val="606060"/>
                            <w:sz w:val="23"/>
                            <w:szCs w:val="23"/>
                          </w:rPr>
                          <w:br/>
                          <w:t> </w:t>
                        </w:r>
                      </w:p>
                      <w:p w:rsidR="00675F3C" w:rsidRDefault="00675F3C" w:rsidP="00656C89">
                        <w:pPr>
                          <w:rPr>
                            <w:rFonts w:ascii="Helvetica" w:eastAsia="Times New Roman" w:hAnsi="Helvetica" w:cs="Helvetica"/>
                            <w:color w:val="606060"/>
                            <w:sz w:val="23"/>
                            <w:szCs w:val="23"/>
                          </w:rPr>
                        </w:pPr>
                        <w:r>
                          <w:rPr>
                            <w:rStyle w:val="Emphasis"/>
                            <w:rFonts w:eastAsia="Times New Roman"/>
                            <w:color w:val="606060"/>
                            <w:sz w:val="21"/>
                            <w:szCs w:val="21"/>
                          </w:rPr>
                          <w:t xml:space="preserve">Audience:  General education professionals, special education professionals, school </w:t>
                        </w:r>
                        <w:r>
                          <w:rPr>
                            <w:rStyle w:val="Emphasis"/>
                            <w:rFonts w:eastAsia="Times New Roman"/>
                            <w:color w:val="606060"/>
                            <w:sz w:val="21"/>
                            <w:szCs w:val="21"/>
                          </w:rPr>
                          <w:lastRenderedPageBreak/>
                          <w:t>administrators &amp; support staff, medical &amp; allied health professionals, and parents/families (AR Department of Education professional development credit is available for this workshop)</w:t>
                        </w:r>
                        <w:r>
                          <w:rPr>
                            <w:rFonts w:ascii="Helvetica" w:eastAsia="Times New Roman" w:hAnsi="Helvetica" w:cs="Helvetica"/>
                            <w:color w:val="606060"/>
                            <w:sz w:val="23"/>
                            <w:szCs w:val="23"/>
                          </w:rPr>
                          <w:br/>
                        </w:r>
                        <w:r>
                          <w:rPr>
                            <w:rFonts w:ascii="Helvetica" w:eastAsia="Times New Roman" w:hAnsi="Helvetica" w:cs="Helvetica"/>
                            <w:color w:val="606060"/>
                            <w:sz w:val="23"/>
                            <w:szCs w:val="23"/>
                          </w:rPr>
                          <w:br/>
                        </w:r>
                        <w:hyperlink r:id="rId7" w:tgtFrame="_blank" w:history="1">
                          <w:r>
                            <w:rPr>
                              <w:rStyle w:val="Strong"/>
                              <w:rFonts w:eastAsia="Times New Roman"/>
                              <w:b w:val="0"/>
                              <w:bCs w:val="0"/>
                              <w:color w:val="B22222"/>
                              <w:sz w:val="21"/>
                              <w:szCs w:val="21"/>
                              <w:u w:val="single"/>
                            </w:rPr>
                            <w:t>Click HERE to register:  $90.00 per person (includes box lunch)</w:t>
                          </w:r>
                        </w:hyperlink>
                        <w:r>
                          <w:rPr>
                            <w:rFonts w:ascii="Helvetica" w:eastAsia="Times New Roman" w:hAnsi="Helvetica" w:cs="Helvetica"/>
                            <w:color w:val="606060"/>
                            <w:sz w:val="23"/>
                            <w:szCs w:val="23"/>
                          </w:rPr>
                          <w:t xml:space="preserve"> </w:t>
                        </w:r>
                      </w:p>
                      <w:p w:rsidR="00675F3C" w:rsidRDefault="00675F3C" w:rsidP="00656C89">
                        <w:pPr>
                          <w:jc w:val="center"/>
                          <w:rPr>
                            <w:rFonts w:ascii="Helvetica" w:eastAsia="Times New Roman" w:hAnsi="Helvetica" w:cs="Helvetica"/>
                            <w:color w:val="606060"/>
                            <w:sz w:val="23"/>
                            <w:szCs w:val="23"/>
                          </w:rPr>
                        </w:pPr>
                        <w:r>
                          <w:rPr>
                            <w:rFonts w:ascii="Helvetica" w:eastAsia="Times New Roman" w:hAnsi="Helvetica" w:cs="Helvetica"/>
                            <w:color w:val="606060"/>
                            <w:sz w:val="23"/>
                            <w:szCs w:val="23"/>
                          </w:rPr>
                          <w:br/>
                        </w:r>
                        <w:r>
                          <w:rPr>
                            <w:rStyle w:val="Strong"/>
                            <w:rFonts w:eastAsia="Times New Roman"/>
                            <w:color w:val="606060"/>
                            <w:sz w:val="18"/>
                            <w:szCs w:val="18"/>
                          </w:rPr>
                          <w:t>Workshop Descriptions</w:t>
                        </w:r>
                        <w:r>
                          <w:rPr>
                            <w:rFonts w:ascii="Helvetica" w:eastAsia="Times New Roman" w:hAnsi="Helvetica" w:cs="Helvetica"/>
                            <w:color w:val="606060"/>
                            <w:sz w:val="23"/>
                            <w:szCs w:val="23"/>
                          </w:rPr>
                          <w:br/>
                          <w:t> </w:t>
                        </w:r>
                      </w:p>
                      <w:p w:rsidR="00675F3C" w:rsidRDefault="00675F3C" w:rsidP="00656C89">
                        <w:pPr>
                          <w:rPr>
                            <w:rFonts w:ascii="Helvetica" w:eastAsia="Times New Roman" w:hAnsi="Helvetica" w:cs="Helvetica"/>
                            <w:color w:val="606060"/>
                            <w:sz w:val="23"/>
                            <w:szCs w:val="23"/>
                          </w:rPr>
                        </w:pPr>
                        <w:r>
                          <w:rPr>
                            <w:rStyle w:val="Emphasis"/>
                            <w:rFonts w:eastAsia="Times New Roman"/>
                            <w:b/>
                            <w:bCs/>
                            <w:color w:val="606060"/>
                            <w:sz w:val="18"/>
                            <w:szCs w:val="18"/>
                          </w:rPr>
                          <w:t>Morning Session:  Promoting Relationships and Learning Through Peer-Mediated Interventions: Practical Strategies with Strong Evidence</w:t>
                        </w:r>
                        <w:r>
                          <w:rPr>
                            <w:rFonts w:eastAsia="Times New Roman"/>
                            <w:color w:val="606060"/>
                            <w:sz w:val="18"/>
                            <w:szCs w:val="18"/>
                          </w:rPr>
                          <w:br/>
                          <w:t>Overview: This presentation will address the effectiveness and feasibility of peer-mediated interventions as evidence-based approaches for promoting inclusion and social participation within inclusive classrooms, extracurricular activities, and other school settings. Strategies for implementing peer support arrangements and peer networks will be shared, along with recommendations for reconsidering the use of individually assigned paraprofessionals and other special education staff to promote school inclusion.</w:t>
                        </w:r>
                        <w:r>
                          <w:rPr>
                            <w:rFonts w:eastAsia="Times New Roman"/>
                            <w:color w:val="606060"/>
                            <w:sz w:val="18"/>
                            <w:szCs w:val="18"/>
                          </w:rPr>
                          <w:br/>
                        </w:r>
                        <w:r>
                          <w:rPr>
                            <w:rStyle w:val="Strong"/>
                            <w:rFonts w:eastAsia="Times New Roman"/>
                            <w:color w:val="606060"/>
                            <w:sz w:val="18"/>
                            <w:szCs w:val="18"/>
                            <w:u w:val="single"/>
                          </w:rPr>
                          <w:t>Learner Outcomes</w:t>
                        </w:r>
                        <w:proofErr w:type="gramStart"/>
                        <w:r>
                          <w:rPr>
                            <w:rStyle w:val="Strong"/>
                            <w:rFonts w:eastAsia="Times New Roman"/>
                            <w:color w:val="606060"/>
                            <w:sz w:val="18"/>
                            <w:szCs w:val="18"/>
                            <w:u w:val="single"/>
                          </w:rPr>
                          <w:t>:</w:t>
                        </w:r>
                        <w:proofErr w:type="gramEnd"/>
                        <w:r>
                          <w:rPr>
                            <w:rFonts w:eastAsia="Times New Roman"/>
                            <w:color w:val="606060"/>
                            <w:sz w:val="18"/>
                            <w:szCs w:val="18"/>
                          </w:rPr>
                          <w:br/>
                          <w:t>1. Participants will identify how peer support and peer network interventions can benefit students with and without disabilities.</w:t>
                        </w:r>
                        <w:r>
                          <w:rPr>
                            <w:rFonts w:eastAsia="Times New Roman"/>
                            <w:color w:val="606060"/>
                            <w:sz w:val="18"/>
                            <w:szCs w:val="18"/>
                          </w:rPr>
                          <w:br/>
                          <w:t>2. Participants will learn practical strategies for recruiting students, developing effective intervention plans, orienting students to their roles, and supporting them as they work together.</w:t>
                        </w:r>
                        <w:r>
                          <w:rPr>
                            <w:rFonts w:eastAsia="Times New Roman"/>
                            <w:color w:val="606060"/>
                            <w:sz w:val="18"/>
                            <w:szCs w:val="18"/>
                          </w:rPr>
                          <w:br/>
                          <w:t>3. Participants will be able to evaluate the social and academic impact of peer-mediated interventions, as well as their social validity.</w:t>
                        </w:r>
                        <w:r>
                          <w:rPr>
                            <w:rFonts w:eastAsia="Times New Roman"/>
                            <w:color w:val="606060"/>
                            <w:sz w:val="18"/>
                            <w:szCs w:val="18"/>
                          </w:rPr>
                          <w:br/>
                        </w:r>
                        <w:r>
                          <w:rPr>
                            <w:rFonts w:eastAsia="Times New Roman"/>
                            <w:color w:val="606060"/>
                            <w:sz w:val="18"/>
                            <w:szCs w:val="18"/>
                          </w:rPr>
                          <w:br/>
                        </w:r>
                        <w:r>
                          <w:rPr>
                            <w:rStyle w:val="Emphasis"/>
                            <w:rFonts w:eastAsia="Times New Roman"/>
                            <w:b/>
                            <w:bCs/>
                            <w:color w:val="606060"/>
                            <w:sz w:val="18"/>
                            <w:szCs w:val="18"/>
                          </w:rPr>
                          <w:t>Afternoon Session: Equipping Adolescents with Disabilities for the World of Work: Engaging Youth and Communities to Improve Transition Outcomes</w:t>
                        </w:r>
                        <w:r>
                          <w:rPr>
                            <w:rFonts w:eastAsia="Times New Roman"/>
                            <w:color w:val="606060"/>
                            <w:sz w:val="18"/>
                            <w:szCs w:val="18"/>
                          </w:rPr>
                          <w:br/>
                          <w:t>Overview: Early work experiences during high school are among the most powerful predictors of post-school employment for youth with disabilities. This presentation will focus on findings from and lessons learned from projects aimed at connecting youth with disabilities to paid, integrated work experiences during the school year, summer months, and after high school. An especially unique feature of these projects has been our efforts to engage broader communities in supporting early career and community experiences of youth with significant disabilities. Recommendations for schools, families, and communities interested in raising the post-school outcomes and aspirations of youth will be shared.</w:t>
                        </w:r>
                        <w:r>
                          <w:rPr>
                            <w:rFonts w:eastAsia="Times New Roman"/>
                            <w:color w:val="606060"/>
                            <w:sz w:val="18"/>
                            <w:szCs w:val="18"/>
                          </w:rPr>
                          <w:br/>
                        </w:r>
                        <w:r>
                          <w:rPr>
                            <w:rStyle w:val="Strong"/>
                            <w:rFonts w:eastAsia="Times New Roman"/>
                            <w:color w:val="606060"/>
                            <w:sz w:val="18"/>
                            <w:szCs w:val="18"/>
                            <w:u w:val="single"/>
                          </w:rPr>
                          <w:t>Learner Outcomes</w:t>
                        </w:r>
                        <w:proofErr w:type="gramStart"/>
                        <w:r>
                          <w:rPr>
                            <w:rStyle w:val="Strong"/>
                            <w:rFonts w:eastAsia="Times New Roman"/>
                            <w:color w:val="606060"/>
                            <w:sz w:val="18"/>
                            <w:szCs w:val="18"/>
                            <w:u w:val="single"/>
                          </w:rPr>
                          <w:t>:</w:t>
                        </w:r>
                        <w:proofErr w:type="gramEnd"/>
                        <w:r>
                          <w:rPr>
                            <w:rFonts w:eastAsia="Times New Roman"/>
                            <w:color w:val="606060"/>
                            <w:sz w:val="18"/>
                            <w:szCs w:val="18"/>
                          </w:rPr>
                          <w:br/>
                          <w:t>1. Participants will learn about evidence-based practices for promoting early work experiences for transition-age youth.</w:t>
                        </w:r>
                        <w:r>
                          <w:rPr>
                            <w:rFonts w:eastAsia="Times New Roman"/>
                            <w:color w:val="606060"/>
                            <w:sz w:val="18"/>
                            <w:szCs w:val="18"/>
                          </w:rPr>
                          <w:br/>
                          <w:t>2. Participants will learn how natural community partners can be engaged in school transition efforts.</w:t>
                        </w:r>
                        <w:r>
                          <w:rPr>
                            <w:rFonts w:eastAsia="Times New Roman"/>
                            <w:color w:val="606060"/>
                            <w:sz w:val="18"/>
                            <w:szCs w:val="18"/>
                          </w:rPr>
                          <w:br/>
                          <w:t>3. Participants will apply these strategies to issues of importance in their own schools and communities.</w:t>
                        </w:r>
                        <w:r>
                          <w:rPr>
                            <w:rFonts w:eastAsia="Times New Roman"/>
                            <w:color w:val="606060"/>
                            <w:sz w:val="18"/>
                            <w:szCs w:val="18"/>
                          </w:rPr>
                          <w:br/>
                        </w:r>
                        <w:r>
                          <w:rPr>
                            <w:rFonts w:eastAsia="Times New Roman"/>
                            <w:color w:val="606060"/>
                            <w:sz w:val="18"/>
                            <w:szCs w:val="18"/>
                          </w:rPr>
                          <w:br/>
                        </w:r>
                        <w:r>
                          <w:rPr>
                            <w:rStyle w:val="Strong"/>
                            <w:rFonts w:eastAsia="Times New Roman"/>
                            <w:i/>
                            <w:iCs/>
                            <w:color w:val="606060"/>
                            <w:sz w:val="18"/>
                            <w:szCs w:val="18"/>
                            <w:u w:val="single"/>
                          </w:rPr>
                          <w:t>*IMPORTANT PLEASE READ: If you are registering for a group and plan to pay with a purchase order, please use the promotional code PURCHASEORDER (click on "Enter promotional code" just above the green "Order Now" button)</w:t>
                        </w:r>
                        <w:r>
                          <w:rPr>
                            <w:rFonts w:eastAsia="Times New Roman"/>
                            <w:color w:val="606060"/>
                            <w:sz w:val="18"/>
                            <w:szCs w:val="18"/>
                          </w:rPr>
                          <w:br/>
                          <w:t> </w:t>
                        </w:r>
                        <w:r>
                          <w:rPr>
                            <w:rFonts w:eastAsia="Times New Roman"/>
                            <w:color w:val="606060"/>
                            <w:sz w:val="18"/>
                            <w:szCs w:val="18"/>
                          </w:rPr>
                          <w:br/>
                        </w:r>
                        <w:r>
                          <w:rPr>
                            <w:rFonts w:eastAsia="Times New Roman"/>
                            <w:color w:val="606060"/>
                            <w:sz w:val="21"/>
                            <w:szCs w:val="21"/>
                          </w:rPr>
                          <w:t xml:space="preserve">Questions?  Email </w:t>
                        </w:r>
                        <w:hyperlink r:id="rId8" w:tgtFrame="_blank" w:history="1">
                          <w:r>
                            <w:rPr>
                              <w:rFonts w:eastAsia="Times New Roman"/>
                              <w:color w:val="B22222"/>
                              <w:sz w:val="21"/>
                              <w:szCs w:val="21"/>
                              <w:u w:val="single"/>
                            </w:rPr>
                            <w:t>ddvarady@uark.edu</w:t>
                          </w:r>
                        </w:hyperlink>
                        <w:r>
                          <w:rPr>
                            <w:rFonts w:eastAsia="Times New Roman"/>
                            <w:color w:val="606060"/>
                            <w:sz w:val="21"/>
                            <w:szCs w:val="21"/>
                          </w:rPr>
                          <w:t xml:space="preserve"> or call 501-454-8542</w:t>
                        </w:r>
                        <w:r>
                          <w:rPr>
                            <w:rFonts w:ascii="Helvetica" w:eastAsia="Times New Roman" w:hAnsi="Helvetica" w:cs="Helvetica"/>
                            <w:color w:val="606060"/>
                            <w:sz w:val="23"/>
                            <w:szCs w:val="23"/>
                          </w:rPr>
                          <w:br/>
                          <w:t xml:space="preserve">  </w:t>
                        </w:r>
                      </w:p>
                    </w:tc>
                  </w:tr>
                </w:tbl>
                <w:p w:rsidR="00675F3C" w:rsidRDefault="00675F3C" w:rsidP="00656C89">
                  <w:pPr>
                    <w:rPr>
                      <w:rFonts w:eastAsia="Times New Roman"/>
                    </w:rPr>
                  </w:pPr>
                </w:p>
              </w:tc>
            </w:tr>
          </w:tbl>
          <w:p w:rsidR="00675F3C" w:rsidRDefault="00675F3C" w:rsidP="00656C89">
            <w:pPr>
              <w:rPr>
                <w:rFonts w:eastAsia="Times New Roman"/>
              </w:rPr>
            </w:pPr>
          </w:p>
        </w:tc>
      </w:tr>
    </w:tbl>
    <w:p w:rsidR="00675F3C" w:rsidRDefault="00675F3C" w:rsidP="00675F3C">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675F3C" w:rsidTr="00656C89">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75F3C" w:rsidTr="00656C89">
              <w:tc>
                <w:tcPr>
                  <w:tcW w:w="0" w:type="auto"/>
                  <w:tcMar>
                    <w:top w:w="135" w:type="dxa"/>
                    <w:left w:w="270" w:type="dxa"/>
                    <w:bottom w:w="135" w:type="dxa"/>
                    <w:right w:w="270" w:type="dxa"/>
                  </w:tcMar>
                  <w:vAlign w:val="center"/>
                  <w:hideMark/>
                </w:tcPr>
                <w:tbl>
                  <w:tblPr>
                    <w:tblW w:w="5000" w:type="pct"/>
                    <w:tblBorders>
                      <w:top w:val="single" w:sz="6" w:space="0" w:color="999999"/>
                      <w:left w:val="single" w:sz="6" w:space="0" w:color="999999"/>
                      <w:bottom w:val="single" w:sz="6" w:space="0" w:color="999999"/>
                      <w:right w:val="single" w:sz="6" w:space="0" w:color="999999"/>
                    </w:tblBorders>
                    <w:shd w:val="clear" w:color="auto" w:fill="EBEBEB"/>
                    <w:tblCellMar>
                      <w:top w:w="270" w:type="dxa"/>
                      <w:left w:w="270" w:type="dxa"/>
                      <w:bottom w:w="270" w:type="dxa"/>
                      <w:right w:w="270" w:type="dxa"/>
                    </w:tblCellMar>
                    <w:tblLook w:val="04A0" w:firstRow="1" w:lastRow="0" w:firstColumn="1" w:lastColumn="0" w:noHBand="0" w:noVBand="1"/>
                  </w:tblPr>
                  <w:tblGrid>
                    <w:gridCol w:w="8444"/>
                  </w:tblGrid>
                  <w:tr w:rsidR="00675F3C" w:rsidTr="00656C89">
                    <w:tc>
                      <w:tcPr>
                        <w:tcW w:w="0" w:type="auto"/>
                        <w:shd w:val="clear" w:color="auto" w:fill="EBEBEB"/>
                        <w:hideMark/>
                      </w:tcPr>
                      <w:p w:rsidR="00675F3C" w:rsidRDefault="00675F3C" w:rsidP="00656C89">
                        <w:pPr>
                          <w:jc w:val="center"/>
                          <w:rPr>
                            <w:rFonts w:ascii="Helvetica" w:eastAsia="Times New Roman" w:hAnsi="Helvetica" w:cs="Helvetica"/>
                            <w:color w:val="606060"/>
                            <w:sz w:val="23"/>
                            <w:szCs w:val="23"/>
                          </w:rPr>
                        </w:pPr>
                        <w:r>
                          <w:rPr>
                            <w:rStyle w:val="Strong"/>
                            <w:rFonts w:eastAsia="Times New Roman"/>
                            <w:color w:val="606060"/>
                            <w:sz w:val="21"/>
                            <w:szCs w:val="21"/>
                          </w:rPr>
                          <w:t>Workshop:  Including People with Disabilities in Faith Communities</w:t>
                        </w:r>
                        <w:proofErr w:type="gramStart"/>
                        <w:r>
                          <w:rPr>
                            <w:rStyle w:val="Strong"/>
                            <w:rFonts w:eastAsia="Times New Roman"/>
                            <w:color w:val="606060"/>
                            <w:sz w:val="21"/>
                            <w:szCs w:val="21"/>
                          </w:rPr>
                          <w:t>:</w:t>
                        </w:r>
                        <w:proofErr w:type="gramEnd"/>
                        <w:r>
                          <w:rPr>
                            <w:rFonts w:eastAsia="Times New Roman"/>
                            <w:b/>
                            <w:bCs/>
                            <w:color w:val="606060"/>
                            <w:sz w:val="21"/>
                            <w:szCs w:val="21"/>
                          </w:rPr>
                          <w:br/>
                        </w:r>
                        <w:r>
                          <w:rPr>
                            <w:rStyle w:val="Strong"/>
                            <w:rFonts w:eastAsia="Times New Roman"/>
                            <w:color w:val="606060"/>
                            <w:sz w:val="21"/>
                            <w:szCs w:val="21"/>
                          </w:rPr>
                          <w:t>On Welcoming Well</w:t>
                        </w:r>
                        <w:r>
                          <w:rPr>
                            <w:rFonts w:eastAsia="Times New Roman"/>
                            <w:color w:val="606060"/>
                            <w:sz w:val="23"/>
                            <w:szCs w:val="23"/>
                          </w:rPr>
                          <w:br/>
                        </w:r>
                        <w:r>
                          <w:rPr>
                            <w:rStyle w:val="Strong"/>
                            <w:rFonts w:eastAsia="Times New Roman"/>
                            <w:color w:val="606060"/>
                            <w:sz w:val="21"/>
                            <w:szCs w:val="21"/>
                          </w:rPr>
                          <w:t>Saturday, November 15th, 2014, 8:00 a.m. to 3:00 p.m.</w:t>
                        </w:r>
                        <w:r>
                          <w:rPr>
                            <w:rFonts w:eastAsia="Times New Roman"/>
                            <w:b/>
                            <w:bCs/>
                            <w:color w:val="606060"/>
                            <w:sz w:val="21"/>
                            <w:szCs w:val="21"/>
                          </w:rPr>
                          <w:br/>
                        </w:r>
                        <w:r>
                          <w:rPr>
                            <w:rStyle w:val="Strong"/>
                            <w:rFonts w:eastAsia="Times New Roman"/>
                            <w:color w:val="606060"/>
                            <w:sz w:val="21"/>
                            <w:szCs w:val="21"/>
                          </w:rPr>
                          <w:t>First Assembly of God North Little Rock</w:t>
                        </w:r>
                        <w:r>
                          <w:rPr>
                            <w:rFonts w:ascii="Helvetica" w:eastAsia="Times New Roman" w:hAnsi="Helvetica" w:cs="Helvetica"/>
                            <w:color w:val="606060"/>
                            <w:sz w:val="23"/>
                            <w:szCs w:val="23"/>
                          </w:rPr>
                          <w:br/>
                          <w:t> </w:t>
                        </w:r>
                      </w:p>
                      <w:p w:rsidR="00675F3C" w:rsidRDefault="00675F3C" w:rsidP="00656C89">
                        <w:pPr>
                          <w:rPr>
                            <w:rFonts w:ascii="Helvetica" w:eastAsia="Times New Roman" w:hAnsi="Helvetica" w:cs="Helvetica"/>
                            <w:color w:val="606060"/>
                            <w:sz w:val="23"/>
                            <w:szCs w:val="23"/>
                          </w:rPr>
                        </w:pPr>
                        <w:r>
                          <w:rPr>
                            <w:rStyle w:val="Emphasis"/>
                            <w:rFonts w:eastAsia="Times New Roman"/>
                            <w:color w:val="606060"/>
                            <w:sz w:val="21"/>
                            <w:szCs w:val="21"/>
                          </w:rPr>
                          <w:t>Audience:  Families of individuals with disabilities, their extended family and friends; ministers/pastors, support staff, and congregants of all faiths; educators; clinicians; general public</w:t>
                        </w:r>
                        <w:r>
                          <w:rPr>
                            <w:rFonts w:ascii="Helvetica" w:eastAsia="Times New Roman" w:hAnsi="Helvetica" w:cs="Helvetica"/>
                            <w:color w:val="606060"/>
                            <w:sz w:val="23"/>
                            <w:szCs w:val="23"/>
                          </w:rPr>
                          <w:br/>
                        </w:r>
                        <w:r>
                          <w:rPr>
                            <w:rFonts w:ascii="Helvetica" w:eastAsia="Times New Roman" w:hAnsi="Helvetica" w:cs="Helvetica"/>
                            <w:color w:val="606060"/>
                            <w:sz w:val="23"/>
                            <w:szCs w:val="23"/>
                          </w:rPr>
                          <w:lastRenderedPageBreak/>
                          <w:br/>
                        </w:r>
                        <w:hyperlink r:id="rId9" w:tgtFrame="_blank" w:history="1">
                          <w:r>
                            <w:rPr>
                              <w:rStyle w:val="Strong"/>
                              <w:rFonts w:eastAsia="Times New Roman"/>
                              <w:color w:val="B22222"/>
                              <w:sz w:val="21"/>
                              <w:szCs w:val="21"/>
                              <w:u w:val="single"/>
                            </w:rPr>
                            <w:t>Click HERE to register:  $10.00 per person (includes lunch)</w:t>
                          </w:r>
                        </w:hyperlink>
                        <w:r>
                          <w:rPr>
                            <w:rFonts w:ascii="Helvetica" w:eastAsia="Times New Roman" w:hAnsi="Helvetica" w:cs="Helvetica"/>
                            <w:color w:val="606060"/>
                            <w:sz w:val="23"/>
                            <w:szCs w:val="23"/>
                          </w:rPr>
                          <w:t xml:space="preserve"> </w:t>
                        </w:r>
                      </w:p>
                      <w:p w:rsidR="00675F3C" w:rsidRDefault="00675F3C" w:rsidP="00656C89">
                        <w:pPr>
                          <w:jc w:val="center"/>
                          <w:rPr>
                            <w:rFonts w:ascii="Helvetica" w:eastAsia="Times New Roman" w:hAnsi="Helvetica" w:cs="Helvetica"/>
                            <w:color w:val="606060"/>
                            <w:sz w:val="23"/>
                            <w:szCs w:val="23"/>
                          </w:rPr>
                        </w:pPr>
                        <w:r>
                          <w:rPr>
                            <w:rFonts w:ascii="Helvetica" w:eastAsia="Times New Roman" w:hAnsi="Helvetica" w:cs="Helvetica"/>
                            <w:color w:val="606060"/>
                            <w:sz w:val="23"/>
                            <w:szCs w:val="23"/>
                          </w:rPr>
                          <w:br/>
                        </w:r>
                        <w:r>
                          <w:rPr>
                            <w:rStyle w:val="Strong"/>
                            <w:rFonts w:eastAsia="Times New Roman"/>
                            <w:i/>
                            <w:iCs/>
                            <w:color w:val="606060"/>
                            <w:sz w:val="21"/>
                            <w:szCs w:val="21"/>
                          </w:rPr>
                          <w:t>Sessions within the Day:</w:t>
                        </w:r>
                        <w:r>
                          <w:rPr>
                            <w:rFonts w:ascii="Helvetica" w:eastAsia="Times New Roman" w:hAnsi="Helvetica" w:cs="Helvetica"/>
                            <w:color w:val="606060"/>
                            <w:sz w:val="23"/>
                            <w:szCs w:val="23"/>
                          </w:rPr>
                          <w:br/>
                          <w:t> </w:t>
                        </w:r>
                      </w:p>
                      <w:p w:rsidR="00675F3C" w:rsidRDefault="00675F3C" w:rsidP="00656C89">
                        <w:pPr>
                          <w:numPr>
                            <w:ilvl w:val="0"/>
                            <w:numId w:val="1"/>
                          </w:numPr>
                          <w:spacing w:before="100" w:beforeAutospacing="1" w:after="100" w:afterAutospacing="1"/>
                          <w:rPr>
                            <w:rFonts w:ascii="Helvetica" w:eastAsia="Times New Roman" w:hAnsi="Helvetica" w:cs="Helvetica"/>
                            <w:color w:val="606060"/>
                            <w:sz w:val="23"/>
                            <w:szCs w:val="23"/>
                          </w:rPr>
                        </w:pPr>
                        <w:r>
                          <w:rPr>
                            <w:rFonts w:eastAsia="Times New Roman"/>
                            <w:color w:val="606060"/>
                            <w:sz w:val="21"/>
                            <w:szCs w:val="21"/>
                          </w:rPr>
                          <w:t>Incomplete without You: The Church and People with Disabilities (casting a vision)</w:t>
                        </w:r>
                      </w:p>
                      <w:p w:rsidR="00675F3C" w:rsidRDefault="00675F3C" w:rsidP="00656C89">
                        <w:pPr>
                          <w:numPr>
                            <w:ilvl w:val="0"/>
                            <w:numId w:val="1"/>
                          </w:numPr>
                          <w:spacing w:before="100" w:beforeAutospacing="1" w:after="100" w:afterAutospacing="1"/>
                          <w:rPr>
                            <w:rFonts w:ascii="Helvetica" w:eastAsia="Times New Roman" w:hAnsi="Helvetica" w:cs="Helvetica"/>
                            <w:color w:val="606060"/>
                            <w:sz w:val="23"/>
                            <w:szCs w:val="23"/>
                          </w:rPr>
                        </w:pPr>
                        <w:r>
                          <w:rPr>
                            <w:rFonts w:eastAsia="Times New Roman"/>
                            <w:color w:val="606060"/>
                            <w:sz w:val="21"/>
                            <w:szCs w:val="21"/>
                          </w:rPr>
                          <w:t>Starting Points and Possibilities (reflecting on your welcome and accessibility and creating a plan to move forward)</w:t>
                        </w:r>
                      </w:p>
                      <w:p w:rsidR="00675F3C" w:rsidRDefault="00675F3C" w:rsidP="00656C89">
                        <w:pPr>
                          <w:numPr>
                            <w:ilvl w:val="0"/>
                            <w:numId w:val="1"/>
                          </w:numPr>
                          <w:spacing w:before="100" w:beforeAutospacing="1" w:after="100" w:afterAutospacing="1"/>
                          <w:rPr>
                            <w:rFonts w:ascii="Helvetica" w:eastAsia="Times New Roman" w:hAnsi="Helvetica" w:cs="Helvetica"/>
                            <w:color w:val="606060"/>
                            <w:sz w:val="23"/>
                            <w:szCs w:val="23"/>
                          </w:rPr>
                        </w:pPr>
                        <w:r>
                          <w:rPr>
                            <w:rFonts w:eastAsia="Times New Roman"/>
                            <w:color w:val="606060"/>
                            <w:sz w:val="21"/>
                            <w:szCs w:val="21"/>
                          </w:rPr>
                          <w:t>Better Together: Designing Inclusive Programming for Children and Youth</w:t>
                        </w:r>
                      </w:p>
                      <w:p w:rsidR="00675F3C" w:rsidRDefault="00675F3C" w:rsidP="00656C89">
                        <w:pPr>
                          <w:numPr>
                            <w:ilvl w:val="0"/>
                            <w:numId w:val="1"/>
                          </w:numPr>
                          <w:spacing w:before="100" w:beforeAutospacing="1" w:after="100" w:afterAutospacing="1"/>
                          <w:rPr>
                            <w:rFonts w:ascii="Helvetica" w:eastAsia="Times New Roman" w:hAnsi="Helvetica" w:cs="Helvetica"/>
                            <w:color w:val="606060"/>
                            <w:sz w:val="23"/>
                            <w:szCs w:val="23"/>
                          </w:rPr>
                        </w:pPr>
                        <w:r>
                          <w:rPr>
                            <w:rFonts w:eastAsia="Times New Roman"/>
                            <w:color w:val="606060"/>
                            <w:sz w:val="21"/>
                            <w:szCs w:val="21"/>
                          </w:rPr>
                          <w:t>The Other Six Days: Supporting People with Disabilities and Their Families After the Benediction</w:t>
                        </w:r>
                      </w:p>
                      <w:p w:rsidR="00675F3C" w:rsidRDefault="00675F3C" w:rsidP="00656C89">
                        <w:pPr>
                          <w:jc w:val="center"/>
                          <w:rPr>
                            <w:rFonts w:ascii="Helvetica" w:eastAsia="Times New Roman" w:hAnsi="Helvetica" w:cs="Helvetica"/>
                            <w:color w:val="606060"/>
                            <w:sz w:val="23"/>
                            <w:szCs w:val="23"/>
                          </w:rPr>
                        </w:pPr>
                        <w:r>
                          <w:rPr>
                            <w:rFonts w:ascii="Helvetica" w:eastAsia="Times New Roman" w:hAnsi="Helvetica" w:cs="Helvetica"/>
                            <w:color w:val="606060"/>
                            <w:sz w:val="23"/>
                            <w:szCs w:val="23"/>
                          </w:rPr>
                          <w:t> </w:t>
                        </w:r>
                      </w:p>
                      <w:p w:rsidR="00675F3C" w:rsidRDefault="00675F3C" w:rsidP="00656C89">
                        <w:pPr>
                          <w:rPr>
                            <w:rFonts w:ascii="Helvetica" w:eastAsia="Times New Roman" w:hAnsi="Helvetica" w:cs="Helvetica"/>
                            <w:color w:val="606060"/>
                            <w:sz w:val="23"/>
                            <w:szCs w:val="23"/>
                          </w:rPr>
                        </w:pPr>
                        <w:r>
                          <w:rPr>
                            <w:rFonts w:eastAsia="Times New Roman"/>
                            <w:color w:val="606060"/>
                            <w:sz w:val="21"/>
                            <w:szCs w:val="21"/>
                          </w:rPr>
                          <w:t xml:space="preserve">Questions?  Email Brian Dollar at </w:t>
                        </w:r>
                        <w:hyperlink r:id="rId10" w:tgtFrame="_blank" w:history="1">
                          <w:r>
                            <w:rPr>
                              <w:rStyle w:val="Strong"/>
                              <w:rFonts w:eastAsia="Times New Roman"/>
                              <w:color w:val="B22222"/>
                              <w:sz w:val="21"/>
                              <w:szCs w:val="21"/>
                              <w:u w:val="single"/>
                            </w:rPr>
                            <w:t>BDollar@FirstNLR.com</w:t>
                          </w:r>
                        </w:hyperlink>
                        <w:r>
                          <w:rPr>
                            <w:rFonts w:eastAsia="Times New Roman"/>
                            <w:color w:val="606060"/>
                            <w:sz w:val="21"/>
                            <w:szCs w:val="21"/>
                          </w:rPr>
                          <w:br/>
                          <w:t>or call (501) 758-8553</w:t>
                        </w:r>
                        <w:r>
                          <w:rPr>
                            <w:rFonts w:ascii="Helvetica" w:eastAsia="Times New Roman" w:hAnsi="Helvetica" w:cs="Helvetica"/>
                            <w:color w:val="606060"/>
                            <w:sz w:val="23"/>
                            <w:szCs w:val="23"/>
                          </w:rPr>
                          <w:br/>
                          <w:t> </w:t>
                        </w:r>
                      </w:p>
                    </w:tc>
                  </w:tr>
                </w:tbl>
                <w:p w:rsidR="00675F3C" w:rsidRDefault="00675F3C" w:rsidP="00656C89">
                  <w:pPr>
                    <w:rPr>
                      <w:rFonts w:eastAsia="Times New Roman"/>
                    </w:rPr>
                  </w:pPr>
                </w:p>
              </w:tc>
            </w:tr>
          </w:tbl>
          <w:p w:rsidR="00675F3C" w:rsidRDefault="00675F3C" w:rsidP="00656C89">
            <w:pPr>
              <w:rPr>
                <w:rFonts w:eastAsia="Times New Roman"/>
              </w:rPr>
            </w:pPr>
          </w:p>
        </w:tc>
      </w:tr>
    </w:tbl>
    <w:p w:rsidR="008F60EF" w:rsidRDefault="008F60EF">
      <w:bookmarkStart w:id="0" w:name="_GoBack"/>
      <w:bookmarkEnd w:id="0"/>
    </w:p>
    <w:sectPr w:rsidR="008F6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37925"/>
    <w:multiLevelType w:val="multilevel"/>
    <w:tmpl w:val="81E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3C"/>
    <w:rsid w:val="00675F3C"/>
    <w:rsid w:val="008F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3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F3C"/>
    <w:rPr>
      <w:b/>
      <w:bCs/>
    </w:rPr>
  </w:style>
  <w:style w:type="character" w:styleId="Emphasis">
    <w:name w:val="Emphasis"/>
    <w:basedOn w:val="DefaultParagraphFont"/>
    <w:uiPriority w:val="20"/>
    <w:qFormat/>
    <w:rsid w:val="00675F3C"/>
    <w:rPr>
      <w:i/>
      <w:iCs/>
    </w:rPr>
  </w:style>
  <w:style w:type="paragraph" w:styleId="BalloonText">
    <w:name w:val="Balloon Text"/>
    <w:basedOn w:val="Normal"/>
    <w:link w:val="BalloonTextChar"/>
    <w:uiPriority w:val="99"/>
    <w:semiHidden/>
    <w:unhideWhenUsed/>
    <w:rsid w:val="00675F3C"/>
    <w:rPr>
      <w:rFonts w:ascii="Tahoma" w:hAnsi="Tahoma" w:cs="Tahoma"/>
      <w:sz w:val="16"/>
      <w:szCs w:val="16"/>
    </w:rPr>
  </w:style>
  <w:style w:type="character" w:customStyle="1" w:styleId="BalloonTextChar">
    <w:name w:val="Balloon Text Char"/>
    <w:basedOn w:val="DefaultParagraphFont"/>
    <w:link w:val="BalloonText"/>
    <w:uiPriority w:val="99"/>
    <w:semiHidden/>
    <w:rsid w:val="00675F3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3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F3C"/>
    <w:rPr>
      <w:b/>
      <w:bCs/>
    </w:rPr>
  </w:style>
  <w:style w:type="character" w:styleId="Emphasis">
    <w:name w:val="Emphasis"/>
    <w:basedOn w:val="DefaultParagraphFont"/>
    <w:uiPriority w:val="20"/>
    <w:qFormat/>
    <w:rsid w:val="00675F3C"/>
    <w:rPr>
      <w:i/>
      <w:iCs/>
    </w:rPr>
  </w:style>
  <w:style w:type="paragraph" w:styleId="BalloonText">
    <w:name w:val="Balloon Text"/>
    <w:basedOn w:val="Normal"/>
    <w:link w:val="BalloonTextChar"/>
    <w:uiPriority w:val="99"/>
    <w:semiHidden/>
    <w:unhideWhenUsed/>
    <w:rsid w:val="00675F3C"/>
    <w:rPr>
      <w:rFonts w:ascii="Tahoma" w:hAnsi="Tahoma" w:cs="Tahoma"/>
      <w:sz w:val="16"/>
      <w:szCs w:val="16"/>
    </w:rPr>
  </w:style>
  <w:style w:type="character" w:customStyle="1" w:styleId="BalloonTextChar">
    <w:name w:val="Balloon Text Char"/>
    <w:basedOn w:val="DefaultParagraphFont"/>
    <w:link w:val="BalloonText"/>
    <w:uiPriority w:val="99"/>
    <w:semiHidden/>
    <w:rsid w:val="00675F3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varady@uark.edu?subject=Erik%20Carter%20workshop%2011-14-2014" TargetMode="External"/><Relationship Id="rId3" Type="http://schemas.microsoft.com/office/2007/relationships/stylesWithEffects" Target="stylesWithEffects.xml"/><Relationship Id="rId7" Type="http://schemas.openxmlformats.org/officeDocument/2006/relationships/hyperlink" Target="http://aaroc.us6.list-manage.com/track/click?u=edd775568eb5ae14a8f6b5b35&amp;id=3ee3ad2e09&amp;e=e3a0a8a7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gallery.mailchimp.com/edd775568eb5ae14a8f6b5b35/images/e9772495-b6c8-4d13-bae6-7bda32138598.p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Dollar@FirstNLR.com?subject=Special%20Needs%20workshop%2011-15-2014" TargetMode="External"/><Relationship Id="rId4" Type="http://schemas.openxmlformats.org/officeDocument/2006/relationships/settings" Target="settings.xml"/><Relationship Id="rId9" Type="http://schemas.openxmlformats.org/officeDocument/2006/relationships/hyperlink" Target="http://aaroc.us6.list-manage.com/track/click?u=edd775568eb5ae14a8f6b5b35&amp;id=70dd9c61b3&amp;e=e3a0a8a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5262</Characters>
  <Application>Microsoft Office Word</Application>
  <DocSecurity>0</DocSecurity>
  <Lines>43</Lines>
  <Paragraphs>12</Paragraphs>
  <ScaleCrop>false</ScaleCrop>
  <Company>Hewlett-Packard</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Scheel</dc:creator>
  <cp:lastModifiedBy>Jason Scheel</cp:lastModifiedBy>
  <cp:revision>1</cp:revision>
  <dcterms:created xsi:type="dcterms:W3CDTF">2014-10-29T16:03:00Z</dcterms:created>
  <dcterms:modified xsi:type="dcterms:W3CDTF">2014-10-29T16:04:00Z</dcterms:modified>
</cp:coreProperties>
</file>